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6F76" w14:textId="77777777" w:rsidR="001A16AB" w:rsidRDefault="001A16AB" w:rsidP="001A16AB">
      <w:r w:rsidRPr="001A16AB">
        <w:rPr>
          <w:b/>
        </w:rPr>
        <w:t>Essay Question:</w:t>
      </w:r>
      <w:r w:rsidRPr="001A16AB">
        <w:t xml:space="preserve"> </w:t>
      </w:r>
    </w:p>
    <w:p w14:paraId="2B490AEA" w14:textId="77777777" w:rsidR="001A16AB" w:rsidRDefault="001A16AB" w:rsidP="001A16AB"/>
    <w:p w14:paraId="2C346F07" w14:textId="77777777" w:rsidR="001A16AB" w:rsidRPr="001A16AB" w:rsidRDefault="001A16AB" w:rsidP="001A16AB">
      <w:pPr>
        <w:rPr>
          <w:b/>
        </w:rPr>
      </w:pPr>
      <w:r w:rsidRPr="001A16AB">
        <w:rPr>
          <w:b/>
        </w:rPr>
        <w:t xml:space="preserve">Read Lines II.34 and II.35 from chapter two of the Yoga Sutra’s of Patanjali. </w:t>
      </w:r>
      <w:proofErr w:type="spellStart"/>
      <w:r w:rsidRPr="001A16AB">
        <w:rPr>
          <w:b/>
        </w:rPr>
        <w:t>Summerize</w:t>
      </w:r>
      <w:proofErr w:type="spellEnd"/>
      <w:r w:rsidRPr="001A16AB">
        <w:rPr>
          <w:b/>
        </w:rPr>
        <w:t>, in your own words, the meaning of these sutra’s. Explain how they can be used in your life, with people you find difficult, in your practice and in teaching your students.</w:t>
      </w:r>
    </w:p>
    <w:p w14:paraId="729425F9" w14:textId="741EA386" w:rsidR="00C3061C" w:rsidRDefault="00C3061C"/>
    <w:p w14:paraId="470521BA" w14:textId="2D1BD708" w:rsidR="00DF31C8" w:rsidRDefault="009E3723" w:rsidP="00DF31C8">
      <w:r>
        <w:t>Chapter two, verse 34</w:t>
      </w:r>
    </w:p>
    <w:p w14:paraId="78C6DF9B" w14:textId="77777777" w:rsidR="0014738B" w:rsidRDefault="0014738B" w:rsidP="0014738B">
      <w:proofErr w:type="spellStart"/>
      <w:r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वितर्का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हिंसादयः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कृतकारितानुमोदिता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लोभक्रोधमोहापूर्वका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मृदुमध्य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अधिमात्रा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दुःखाज्ञानानन्तफला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इति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प्रतिपक्षभावनम्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r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॥</w:t>
      </w:r>
      <w:r>
        <w:rPr>
          <w:rFonts w:ascii="Helvetica Neue" w:hAnsi="Helvetica Neue" w:cs="Helvetica Neue"/>
          <w:color w:val="0A0A0A"/>
          <w:sz w:val="22"/>
          <w:szCs w:val="22"/>
          <w:shd w:val="clear" w:color="auto" w:fill="FFFFFF"/>
        </w:rPr>
        <w:t>३४</w:t>
      </w:r>
      <w:r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॥</w:t>
      </w:r>
    </w:p>
    <w:p w14:paraId="3895F319" w14:textId="77777777" w:rsidR="0014738B" w:rsidRDefault="0014738B" w:rsidP="0014738B"/>
    <w:p w14:paraId="29EDAC73" w14:textId="1E86E899" w:rsidR="0014738B" w:rsidRPr="0014738B" w:rsidRDefault="0014738B" w:rsidP="0014738B">
      <w:proofErr w:type="spellStart"/>
      <w:r w:rsidRPr="0014738B">
        <w:t>vitarkāḥ</w:t>
      </w:r>
      <w:proofErr w:type="spellEnd"/>
      <w:r w:rsidRPr="0014738B">
        <w:t xml:space="preserve"> </w:t>
      </w:r>
      <w:proofErr w:type="spellStart"/>
      <w:r w:rsidRPr="0014738B">
        <w:t>hiṃsā-ādayaḥ</w:t>
      </w:r>
      <w:proofErr w:type="spellEnd"/>
      <w:r w:rsidRPr="0014738B">
        <w:t xml:space="preserve"> </w:t>
      </w:r>
      <w:proofErr w:type="spellStart"/>
      <w:r w:rsidRPr="0014738B">
        <w:t>kṛta-kārita-anumoditāḥ</w:t>
      </w:r>
      <w:proofErr w:type="spellEnd"/>
      <w:r w:rsidRPr="0014738B">
        <w:t xml:space="preserve"> </w:t>
      </w:r>
      <w:proofErr w:type="spellStart"/>
      <w:r w:rsidRPr="0014738B">
        <w:t>lobha-krodha-moha-pūrvakāḥ</w:t>
      </w:r>
      <w:proofErr w:type="spellEnd"/>
      <w:r w:rsidRPr="0014738B">
        <w:t xml:space="preserve"> </w:t>
      </w:r>
      <w:proofErr w:type="spellStart"/>
      <w:r w:rsidRPr="0014738B">
        <w:t>mṛdu-madhya-adhimātrāḥ</w:t>
      </w:r>
      <w:proofErr w:type="spellEnd"/>
      <w:r w:rsidRPr="0014738B">
        <w:t xml:space="preserve"> </w:t>
      </w:r>
      <w:proofErr w:type="spellStart"/>
      <w:r w:rsidRPr="0014738B">
        <w:t>duḥkha-ajñāna-ananta-phalāḥ</w:t>
      </w:r>
      <w:proofErr w:type="spellEnd"/>
      <w:r w:rsidRPr="0014738B">
        <w:t xml:space="preserve"> </w:t>
      </w:r>
      <w:proofErr w:type="spellStart"/>
      <w:r w:rsidRPr="0014738B">
        <w:t>iti</w:t>
      </w:r>
      <w:proofErr w:type="spellEnd"/>
      <w:r w:rsidRPr="0014738B">
        <w:t xml:space="preserve"> </w:t>
      </w:r>
      <w:proofErr w:type="spellStart"/>
      <w:r w:rsidRPr="0014738B">
        <w:t>pratipakṣa-bhāvanam</w:t>
      </w:r>
      <w:proofErr w:type="spellEnd"/>
    </w:p>
    <w:p w14:paraId="2015201B" w14:textId="657D693F" w:rsidR="0014738B" w:rsidRDefault="0014738B" w:rsidP="00DF31C8"/>
    <w:p w14:paraId="5BDACD53" w14:textId="5459C789" w:rsidR="009E3723" w:rsidRDefault="009E3723" w:rsidP="00DF31C8">
      <w:pPr>
        <w:rPr>
          <w:rFonts w:ascii="Helvetica Neue" w:hAnsi="Helvetica Neue"/>
          <w:b/>
          <w:bCs/>
          <w:color w:val="0A0A0A"/>
          <w:sz w:val="22"/>
          <w:szCs w:val="22"/>
          <w:shd w:val="clear" w:color="auto" w:fill="FFFFFF"/>
        </w:rPr>
      </w:pPr>
      <w:r>
        <w:rPr>
          <w:rFonts w:ascii="Helvetica Neue" w:hAnsi="Helvetica Neue"/>
          <w:b/>
          <w:bCs/>
          <w:color w:val="0A0A0A"/>
          <w:sz w:val="22"/>
          <w:szCs w:val="22"/>
          <w:shd w:val="clear" w:color="auto" w:fill="FFFFFF"/>
        </w:rPr>
        <w:t>Negative deliberation such as harming and the rest;</w:t>
      </w:r>
      <w:r>
        <w:rPr>
          <w:rFonts w:ascii="Helvetica Neue" w:hAnsi="Helvetica Neue"/>
          <w:b/>
          <w:bCs/>
          <w:color w:val="0A0A0A"/>
          <w:sz w:val="22"/>
          <w:szCs w:val="22"/>
          <w:shd w:val="clear" w:color="auto" w:fill="FFFFFF"/>
        </w:rPr>
        <w:br/>
        <w:t>may be done, brought about, or by approval;</w:t>
      </w:r>
      <w:r>
        <w:rPr>
          <w:rFonts w:ascii="Helvetica Neue" w:hAnsi="Helvetica Neue"/>
          <w:b/>
          <w:bCs/>
          <w:color w:val="0A0A0A"/>
          <w:sz w:val="22"/>
          <w:szCs w:val="22"/>
          <w:shd w:val="clear" w:color="auto" w:fill="FFFFFF"/>
        </w:rPr>
        <w:br/>
        <w:t xml:space="preserve">is preceded by greed, </w:t>
      </w:r>
      <w:proofErr w:type="gramStart"/>
      <w:r>
        <w:rPr>
          <w:rFonts w:ascii="Helvetica Neue" w:hAnsi="Helvetica Neue"/>
          <w:b/>
          <w:bCs/>
          <w:color w:val="0A0A0A"/>
          <w:sz w:val="22"/>
          <w:szCs w:val="22"/>
          <w:shd w:val="clear" w:color="auto" w:fill="FFFFFF"/>
        </w:rPr>
        <w:t>anger</w:t>
      </w:r>
      <w:proofErr w:type="gramEnd"/>
      <w:r>
        <w:rPr>
          <w:rFonts w:ascii="Helvetica Neue" w:hAnsi="Helvetica Neue"/>
          <w:b/>
          <w:bCs/>
          <w:color w:val="0A0A0A"/>
          <w:sz w:val="22"/>
          <w:szCs w:val="22"/>
          <w:shd w:val="clear" w:color="auto" w:fill="FFFFFF"/>
        </w:rPr>
        <w:t xml:space="preserve"> or delusion;</w:t>
      </w:r>
      <w:r>
        <w:rPr>
          <w:rFonts w:ascii="Helvetica Neue" w:hAnsi="Helvetica Neue"/>
          <w:b/>
          <w:bCs/>
          <w:color w:val="0A0A0A"/>
          <w:sz w:val="22"/>
          <w:szCs w:val="22"/>
          <w:shd w:val="clear" w:color="auto" w:fill="FFFFFF"/>
        </w:rPr>
        <w:br/>
        <w:t>may be mild, moderate or excessive;</w:t>
      </w:r>
      <w:r>
        <w:rPr>
          <w:rFonts w:ascii="Helvetica Neue" w:hAnsi="Helvetica Neue"/>
          <w:b/>
          <w:bCs/>
          <w:color w:val="0A0A0A"/>
          <w:sz w:val="22"/>
          <w:szCs w:val="22"/>
          <w:shd w:val="clear" w:color="auto" w:fill="FFFFFF"/>
        </w:rPr>
        <w:br/>
        <w:t>its endless fruits are suffering and ignorance;</w:t>
      </w:r>
      <w:r>
        <w:rPr>
          <w:rFonts w:ascii="Helvetica Neue" w:hAnsi="Helvetica Neue"/>
          <w:b/>
          <w:bCs/>
          <w:color w:val="0A0A0A"/>
          <w:sz w:val="22"/>
          <w:szCs w:val="22"/>
          <w:shd w:val="clear" w:color="auto" w:fill="FFFFFF"/>
        </w:rPr>
        <w:br/>
        <w:t>thus cultivate the opposite side.</w:t>
      </w:r>
    </w:p>
    <w:p w14:paraId="1348C7BC" w14:textId="6A233F87" w:rsidR="00DF31C8" w:rsidRDefault="00DF31C8" w:rsidP="00DF31C8">
      <w:pPr>
        <w:rPr>
          <w:rFonts w:ascii="Helvetica Neue" w:hAnsi="Helvetica Neue"/>
          <w:b/>
          <w:bCs/>
          <w:color w:val="0A0A0A"/>
          <w:sz w:val="22"/>
          <w:szCs w:val="22"/>
          <w:shd w:val="clear" w:color="auto" w:fill="FFFFFF"/>
        </w:rPr>
      </w:pPr>
    </w:p>
    <w:p w14:paraId="043C8CCA" w14:textId="77777777" w:rsidR="00492FA7" w:rsidRDefault="00DF31C8" w:rsidP="00492FA7">
      <w:r>
        <w:t>Chapter two, verse 35</w:t>
      </w:r>
    </w:p>
    <w:p w14:paraId="4C3B20E5" w14:textId="0290B356" w:rsidR="0014738B" w:rsidRPr="0014738B" w:rsidRDefault="0014738B" w:rsidP="00492FA7">
      <w:proofErr w:type="spellStart"/>
      <w:r w:rsidRPr="0014738B"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अहिंसाप्रतिष्ठायं</w:t>
      </w:r>
      <w:proofErr w:type="spellEnd"/>
      <w:r w:rsidRP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 w:rsidRPr="0014738B"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तत्सन्निधौ</w:t>
      </w:r>
      <w:proofErr w:type="spellEnd"/>
      <w:r w:rsidRP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 w:rsidRPr="0014738B"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वैरत्याघः</w:t>
      </w:r>
      <w:proofErr w:type="spellEnd"/>
      <w:r w:rsidRP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r w:rsidRPr="0014738B"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॥</w:t>
      </w:r>
      <w:r w:rsidRPr="0014738B">
        <w:rPr>
          <w:rFonts w:ascii="Helvetica Neue" w:hAnsi="Helvetica Neue" w:cs="Helvetica Neue"/>
          <w:color w:val="0A0A0A"/>
          <w:sz w:val="22"/>
          <w:szCs w:val="22"/>
          <w:shd w:val="clear" w:color="auto" w:fill="FFFFFF"/>
        </w:rPr>
        <w:t>३५</w:t>
      </w:r>
      <w:r w:rsidRPr="0014738B">
        <w:rPr>
          <w:rFonts w:ascii="Kohinoor Devanagari" w:hAnsi="Kohinoor Devanagari" w:cs="Kohinoor Devanagari"/>
          <w:color w:val="0A0A0A"/>
          <w:sz w:val="22"/>
          <w:szCs w:val="22"/>
          <w:shd w:val="clear" w:color="auto" w:fill="FFFFFF"/>
        </w:rPr>
        <w:t>॥</w:t>
      </w:r>
    </w:p>
    <w:p w14:paraId="3677D817" w14:textId="53E6FC6F" w:rsidR="0014738B" w:rsidRPr="0014738B" w:rsidRDefault="0014738B" w:rsidP="0014738B">
      <w:pPr>
        <w:spacing w:before="100" w:beforeAutospacing="1" w:after="100" w:afterAutospacing="1"/>
        <w:rPr>
          <w:rFonts w:ascii="Helvetica Neue" w:hAnsi="Helvetica Neue"/>
          <w:color w:val="0A0A0A"/>
          <w:sz w:val="22"/>
          <w:szCs w:val="22"/>
          <w:shd w:val="clear" w:color="auto" w:fill="FFFFFF"/>
        </w:rPr>
      </w:pPr>
      <w:proofErr w:type="spellStart"/>
      <w:r w:rsidRP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ahiṃsā-pratiṣṭhāyāṃ</w:t>
      </w:r>
      <w:proofErr w:type="spellEnd"/>
      <w:r w:rsidRP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tat-</w:t>
      </w:r>
      <w:proofErr w:type="spellStart"/>
      <w:r w:rsidRP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saṃnidhau</w:t>
      </w:r>
      <w:proofErr w:type="spellEnd"/>
      <w:r w:rsidRP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 w:rsidRP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vaira-tyāgaḥ</w:t>
      </w:r>
      <w:proofErr w:type="spellEnd"/>
      <w:r w:rsidRP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 </w:t>
      </w:r>
    </w:p>
    <w:p w14:paraId="6508ED8E" w14:textId="37BBB0BB" w:rsidR="00DF31C8" w:rsidRPr="00DF31C8" w:rsidRDefault="00DF31C8" w:rsidP="00DF31C8">
      <w:r>
        <w:rPr>
          <w:rFonts w:ascii="Helvetica Neue" w:hAnsi="Helvetica Neue"/>
          <w:b/>
          <w:bCs/>
          <w:color w:val="0A0A0A"/>
          <w:sz w:val="22"/>
          <w:szCs w:val="22"/>
          <w:shd w:val="clear" w:color="auto" w:fill="FFFFFF"/>
        </w:rPr>
        <w:t>In the presence of that established in non-harming, animosity is forsaken.</w:t>
      </w:r>
    </w:p>
    <w:p w14:paraId="6548FBC7" w14:textId="77777777" w:rsidR="00DF31C8" w:rsidRPr="00DF31C8" w:rsidRDefault="00DF31C8" w:rsidP="00DF31C8"/>
    <w:p w14:paraId="3086070C" w14:textId="77777777" w:rsidR="00DF31C8" w:rsidRDefault="00DF31C8" w:rsidP="009E3723">
      <w:pPr>
        <w:rPr>
          <w:rFonts w:ascii="Helvetica Neue" w:hAnsi="Helvetica Neue"/>
          <w:color w:val="0A0A0A"/>
          <w:sz w:val="22"/>
          <w:szCs w:val="22"/>
          <w:shd w:val="clear" w:color="auto" w:fill="FFFFFF"/>
        </w:rPr>
      </w:pPr>
    </w:p>
    <w:p w14:paraId="5D7A90DA" w14:textId="313DB97C" w:rsidR="00DF31C8" w:rsidRDefault="00DF31C8" w:rsidP="009E3723">
      <w:pPr>
        <w:rPr>
          <w:rFonts w:ascii="Helvetica Neue" w:hAnsi="Helvetica Neue"/>
          <w:color w:val="0A0A0A"/>
          <w:sz w:val="22"/>
          <w:szCs w:val="22"/>
          <w:shd w:val="clear" w:color="auto" w:fill="FFFFFF"/>
        </w:rPr>
      </w:pPr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Verse 34 is saying that </w:t>
      </w:r>
      <w:proofErr w:type="spellStart"/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lobha</w:t>
      </w:r>
      <w:proofErr w:type="spellEnd"/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(greed), </w:t>
      </w:r>
      <w:proofErr w:type="spellStart"/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krodha</w:t>
      </w:r>
      <w:proofErr w:type="spellEnd"/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(anger), and </w:t>
      </w:r>
      <w:proofErr w:type="spellStart"/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moha</w:t>
      </w:r>
      <w:proofErr w:type="spellEnd"/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(delusion, or errors of the mind or perception) are what drive</w:t>
      </w:r>
      <w:r w:rsidR="00292FAE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, and</w:t>
      </w:r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r w:rsidR="00292FAE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lend</w:t>
      </w:r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justification </w:t>
      </w:r>
      <w:r w:rsidR="00292FAE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for, </w:t>
      </w:r>
      <w:proofErr w:type="spellStart"/>
      <w:r w:rsidR="00182ECA" w:rsidRPr="00DF31C8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hiṃsā</w:t>
      </w:r>
      <w:proofErr w:type="spellEnd"/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(translated as harm </w:t>
      </w:r>
      <w:r w:rsidR="00292FAE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to</w:t>
      </w:r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life or property, injury, hurt or wrong). There are three types of </w:t>
      </w:r>
      <w:proofErr w:type="spellStart"/>
      <w:r w:rsidRPr="00DF31C8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hiṃsā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: 1. Mental, to bear malice towards another sentient being or property; 2. Verbal, to perform abusive language; 3. Personal actions, to perform acts of violence. </w:t>
      </w:r>
      <w:r w:rsidR="00292FAE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All</w:t>
      </w:r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three types of </w:t>
      </w:r>
      <w:proofErr w:type="spellStart"/>
      <w:r w:rsidR="00182ECA" w:rsidRPr="00DF31C8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hiṃsā</w:t>
      </w:r>
      <w:proofErr w:type="spellEnd"/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can arise from greed, </w:t>
      </w:r>
      <w:proofErr w:type="gramStart"/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anger</w:t>
      </w:r>
      <w:proofErr w:type="gramEnd"/>
      <w:r w:rsidR="00182ECA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and delusion no matter the intensity </w:t>
      </w:r>
      <w:r w:rsidR="00292FAE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of the </w:t>
      </w:r>
      <w:proofErr w:type="spellStart"/>
      <w:r w:rsidR="00292FAE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preceeding</w:t>
      </w:r>
      <w:proofErr w:type="spellEnd"/>
      <w:r w:rsidR="00292FAE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emotion (being mild, moderate or excessive). In addition, the verse is pointing out that the repercussions of </w:t>
      </w:r>
      <w:r w:rsidR="00A1736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all forms of </w:t>
      </w:r>
      <w:proofErr w:type="spellStart"/>
      <w:r w:rsidR="00292FAE" w:rsidRPr="00DF31C8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hiṃsā</w:t>
      </w:r>
      <w:proofErr w:type="spellEnd"/>
      <w:r w:rsidR="00292FAE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are duhkha (suffering) and </w:t>
      </w:r>
      <w:proofErr w:type="spellStart"/>
      <w:r w:rsidR="00A1736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ainana</w:t>
      </w:r>
      <w:proofErr w:type="spellEnd"/>
      <w:r w:rsidR="00A1736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(ignorance) and that these repercussions are </w:t>
      </w:r>
      <w:proofErr w:type="spellStart"/>
      <w:r w:rsidR="00292FAE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ananta</w:t>
      </w:r>
      <w:proofErr w:type="spellEnd"/>
      <w:r w:rsidR="00292FAE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(endless, infinite, eternal)</w:t>
      </w:r>
      <w:r w:rsidR="00A1736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regardless of the intensity of the </w:t>
      </w:r>
      <w:proofErr w:type="spellStart"/>
      <w:r w:rsidR="00A1736D" w:rsidRPr="00DF31C8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hiṃsā</w:t>
      </w:r>
      <w:proofErr w:type="spellEnd"/>
      <w:r w:rsidR="00A1736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or </w:t>
      </w:r>
      <w:proofErr w:type="spellStart"/>
      <w:r w:rsidR="00A1736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preceeding</w:t>
      </w:r>
      <w:proofErr w:type="spellEnd"/>
      <w:r w:rsidR="00A1736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emotions. It is unclear if these endless repercussions only impact the </w:t>
      </w:r>
      <w:proofErr w:type="spellStart"/>
      <w:r w:rsidR="00A1736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hims</w:t>
      </w:r>
      <w:r w:rsidR="00A1736D" w:rsidRPr="00DF31C8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ā</w:t>
      </w:r>
      <w:proofErr w:type="spellEnd"/>
      <w:r w:rsidR="00A1736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performer or all those around him/her, but I think we can assume that the endless ripples of duhkha spread far and wide. Thus, the instruction here is to cultivate the opposite of the greed, </w:t>
      </w:r>
      <w:proofErr w:type="gramStart"/>
      <w:r w:rsidR="00A1736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anger</w:t>
      </w:r>
      <w:proofErr w:type="gramEnd"/>
      <w:r w:rsidR="00A1736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and delusion to prevent this cascade of effects. </w:t>
      </w:r>
    </w:p>
    <w:p w14:paraId="595CBB91" w14:textId="55949473" w:rsidR="00A1736D" w:rsidRDefault="00A1736D" w:rsidP="009E3723">
      <w:pPr>
        <w:rPr>
          <w:rFonts w:ascii="Helvetica Neue" w:hAnsi="Helvetica Neue"/>
          <w:color w:val="0A0A0A"/>
          <w:sz w:val="22"/>
          <w:szCs w:val="22"/>
          <w:shd w:val="clear" w:color="auto" w:fill="FFFFFF"/>
        </w:rPr>
      </w:pPr>
    </w:p>
    <w:p w14:paraId="400FD366" w14:textId="75D5CA34" w:rsidR="00A1736D" w:rsidRDefault="009635DD" w:rsidP="009E3723">
      <w:pPr>
        <w:rPr>
          <w:rFonts w:ascii="Helvetica Neue" w:hAnsi="Helvetica Neue"/>
          <w:color w:val="0A0A0A"/>
          <w:sz w:val="22"/>
          <w:szCs w:val="22"/>
          <w:shd w:val="clear" w:color="auto" w:fill="FFFFFF"/>
        </w:rPr>
      </w:pPr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The second verse continues by saying that when one finds a centre, </w:t>
      </w:r>
      <w:proofErr w:type="gramStart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foundation</w:t>
      </w:r>
      <w:proofErr w:type="gram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or base of support (</w:t>
      </w:r>
      <w:proofErr w:type="spellStart"/>
      <w:r w:rsidRPr="009635D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pratiṣṭha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) of </w:t>
      </w:r>
      <w:r w:rsidR="0049102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this opposite side of </w:t>
      </w:r>
      <w:proofErr w:type="spellStart"/>
      <w:r w:rsidRPr="009635D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ahiṃsā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(non-harming), the </w:t>
      </w:r>
      <w:proofErr w:type="spellStart"/>
      <w:r w:rsidRPr="009635D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vaira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(feud, </w:t>
      </w:r>
      <w:r w:rsidRPr="009635D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hostility, animosity, grudge, quarrel</w:t>
      </w:r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) </w:t>
      </w:r>
      <w:r w:rsidR="0049102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of </w:t>
      </w:r>
      <w:proofErr w:type="spellStart"/>
      <w:r w:rsidR="0049102D" w:rsidRPr="00DF31C8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hiṃsā</w:t>
      </w:r>
      <w:proofErr w:type="spellEnd"/>
      <w:r w:rsidR="0049102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and its endless fruits are</w:t>
      </w:r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 w:rsidRPr="009635D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tyāga</w:t>
      </w:r>
      <w:proofErr w:type="spellEnd"/>
      <w:r w:rsidRPr="009635D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lastRenderedPageBreak/>
        <w:t>(</w:t>
      </w:r>
      <w:r w:rsidRPr="009635D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abandon</w:t>
      </w:r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ed, forsaken,</w:t>
      </w:r>
      <w:r w:rsidRPr="009635D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giv</w:t>
      </w:r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en </w:t>
      </w:r>
      <w:r w:rsidRPr="009635D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up, </w:t>
      </w:r>
      <w:proofErr w:type="spellStart"/>
      <w:r w:rsidRPr="009635D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renunciat</w:t>
      </w:r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ed</w:t>
      </w:r>
      <w:proofErr w:type="spellEnd"/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). </w:t>
      </w:r>
      <w:r w:rsidR="0049102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Thus</w:t>
      </w:r>
      <w:r w:rsid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,</w:t>
      </w:r>
      <w:r w:rsidR="0049102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the </w:t>
      </w:r>
      <w:r w:rsid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overall </w:t>
      </w:r>
      <w:r w:rsidR="0049102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instruction is to cultivate </w:t>
      </w:r>
      <w:r w:rsidR="0014738B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or practice </w:t>
      </w:r>
      <w:proofErr w:type="spellStart"/>
      <w:r w:rsidR="0049102D" w:rsidRPr="009635D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ahiṃsā</w:t>
      </w:r>
      <w:proofErr w:type="spellEnd"/>
      <w:r w:rsidR="0049102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</w:t>
      </w:r>
      <w:proofErr w:type="gramStart"/>
      <w:r w:rsidR="0049102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in order to</w:t>
      </w:r>
      <w:proofErr w:type="gramEnd"/>
      <w:r w:rsidR="0049102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protect from the cascade of </w:t>
      </w:r>
      <w:proofErr w:type="spellStart"/>
      <w:r w:rsidR="0049102D" w:rsidRPr="00DF31C8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>hiṃsā</w:t>
      </w:r>
      <w:proofErr w:type="spellEnd"/>
      <w:r w:rsidR="0049102D">
        <w:rPr>
          <w:rFonts w:ascii="Helvetica Neue" w:hAnsi="Helvetica Neue"/>
          <w:color w:val="0A0A0A"/>
          <w:sz w:val="22"/>
          <w:szCs w:val="22"/>
          <w:shd w:val="clear" w:color="auto" w:fill="FFFFFF"/>
        </w:rPr>
        <w:t xml:space="preserve"> and its repercussions. </w:t>
      </w:r>
    </w:p>
    <w:p w14:paraId="7403DEDD" w14:textId="20C916C0" w:rsidR="009E3723" w:rsidRDefault="009E3723" w:rsidP="009E3723">
      <w:r>
        <w:rPr>
          <w:rFonts w:ascii="Helvetica Neue" w:hAnsi="Helvetica Neue"/>
          <w:color w:val="0A0A0A"/>
          <w:sz w:val="22"/>
          <w:szCs w:val="22"/>
          <w:shd w:val="clear" w:color="auto" w:fill="FFFFFF"/>
        </w:rPr>
        <w:br/>
      </w:r>
    </w:p>
    <w:p w14:paraId="7ECECB1B" w14:textId="77777777" w:rsidR="009E3723" w:rsidRDefault="009E3723"/>
    <w:sectPr w:rsidR="009E3723" w:rsidSect="00C306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 Devanagar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AB"/>
    <w:rsid w:val="00091C61"/>
    <w:rsid w:val="001438F7"/>
    <w:rsid w:val="0014738B"/>
    <w:rsid w:val="00182ECA"/>
    <w:rsid w:val="001A16AB"/>
    <w:rsid w:val="00292FAE"/>
    <w:rsid w:val="0049102D"/>
    <w:rsid w:val="00492FA7"/>
    <w:rsid w:val="007D631A"/>
    <w:rsid w:val="009635DD"/>
    <w:rsid w:val="009E3723"/>
    <w:rsid w:val="00A1736D"/>
    <w:rsid w:val="00B76F8F"/>
    <w:rsid w:val="00C3061C"/>
    <w:rsid w:val="00C47725"/>
    <w:rsid w:val="00D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73D336"/>
  <w14:defaultImageDpi w14:val="300"/>
  <w15:docId w15:val="{65CB127B-FA2C-DB42-934D-27EA18B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8B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723"/>
    <w:pPr>
      <w:spacing w:before="100" w:beforeAutospacing="1" w:after="100" w:afterAutospacing="1"/>
    </w:pPr>
  </w:style>
  <w:style w:type="character" w:customStyle="1" w:styleId="post-relationship">
    <w:name w:val="post-relationship"/>
    <w:basedOn w:val="DefaultParagraphFont"/>
    <w:rsid w:val="009E3723"/>
  </w:style>
  <w:style w:type="character" w:styleId="Hyperlink">
    <w:name w:val="Hyperlink"/>
    <w:basedOn w:val="DefaultParagraphFont"/>
    <w:uiPriority w:val="99"/>
    <w:unhideWhenUsed/>
    <w:rsid w:val="009E3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Naada Yoga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Sarah Barnett Burns</cp:lastModifiedBy>
  <cp:revision>10</cp:revision>
  <dcterms:created xsi:type="dcterms:W3CDTF">2021-12-24T22:48:00Z</dcterms:created>
  <dcterms:modified xsi:type="dcterms:W3CDTF">2022-08-02T16:13:00Z</dcterms:modified>
</cp:coreProperties>
</file>